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11" w:type="dxa"/>
        <w:jc w:val="start"/>
        <w:tblInd w:w="66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7"/>
        <w:gridCol w:w="7413"/>
      </w:tblGrid>
      <w:tr>
        <w:trPr/>
        <w:tc>
          <w:tcPr>
            <w:tcW w:w="921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– B</w:t>
            </w:r>
          </w:p>
        </w:tc>
      </w:tr>
      <w:tr>
        <w:trPr/>
        <w:tc>
          <w:tcPr>
            <w:tcW w:w="9210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PROJEKT ARCHITEKTONICZNO - BUDOWLANY</w:t>
            </w:r>
          </w:p>
        </w:tc>
      </w:tr>
      <w:tr>
        <w:trPr>
          <w:trHeight w:val="450" w:hRule="atLeast"/>
        </w:trPr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4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812"/>
        <w:gridCol w:w="5781"/>
        <w:gridCol w:w="1653"/>
      </w:tblGrid>
      <w:tr>
        <w:trPr/>
        <w:tc>
          <w:tcPr>
            <w:tcW w:w="9246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812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5781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65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812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ARCHITEKTURA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165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812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napToGrid w:val="false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165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46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………………………….....…...str. 4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projektanta;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……………………………………………...………….…...str.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I. DANE OGÓLNE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………………………………………………………………..…......str. 8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1. Przedmiot opracowania; ………………………………………………………....…..str. 8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2. Podstawa opracowania; ………………………………………………………….…..str. 8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3. Dane i parametry inwentaryzacyjne; ………………………………………..…....…srt. 8                                              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4. Zakres planowanych prac; …………………………………………………………...str. 9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5. Ogólne zasady prowadzenia robót oraz zagospodarowanie materiału rozbiórkowego i z demontażu ………………………………………………………....str. 11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II. CZĘŚĆ OPISOWA FORMALNA DO PROJEKTU ARCHITEKTONICZNO – BUDOWLANEGO</w:t>
      </w: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……………………………………………………………………...str. 12</w:t>
      </w:r>
    </w:p>
    <w:p>
      <w:pPr>
        <w:pStyle w:val="Normal"/>
        <w:widowControl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1. Rodzaj i kategoria obiektu budowlanego;………………………………………….str. 12</w:t>
      </w:r>
    </w:p>
    <w:p>
      <w:pPr>
        <w:pStyle w:val="Normal"/>
        <w:widowControl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2. Zamierzony sposób użytkowania oraz program użytkowy</w:t>
      </w:r>
    </w:p>
    <w:p>
      <w:pPr>
        <w:pStyle w:val="Normal"/>
        <w:widowControl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obiektu budowlanego;…………………………………………………………………..str. 12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lang w:eastAsia="en-US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3. Układ przestrzenny, forma architektoniczna, oraz ogólne dane techniczne, wykończeniowe i kolorystyka ………………………………………………………….str. 12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lang w:eastAsia="en-US"/>
        </w:rPr>
        <w:t>4. Charakterystyczne parametry obiektu budowlanego;…………………………….str. 13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5. Opis warunków gruntowo - wodnych oraz informacja o sposobie posadowienia obiektu budowlanego;…………………………………………………………………..str. 14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6. Liczba lokali mieszkalnych i użytkowych;……………………………………...…..str. 14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7. Opis zapewnienia warunków do korzystania z budynku przez osoby niepełnosprawne;..……………………………………………………………………...str. 14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8. Parametry techniczne charakteryzujące wpływ na środowisko, zdrowie ludzi i obiekty sąsiednie;…………………………..…………………………………………...str. 15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9. Informacja o zasadniczych elementach wyposażenia budowlano-instalacyjnego, zapewniających użytkowanie obiektu zgodnie z przeznaczeniem;…………….….str. 16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10. Analiza porównawcza możliwości realizacji wysoce wydajnych systemów alternatywnych zaopatrzenia w energię i ciepło; ……………………………………str. 16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11. Analiza technicznych i ekonomicznych możliwości wykorzystania urządzeń, które automatycznie regulują temperaturę oddzielnie w poszczególnych pomieszczeniach lub w wyznaczonej strefie ogrzewanej;…………………………..………………...…str. 16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Informacja dotycząca warunków ochrony przeciwpożarowej;……………...….str. 16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III. DANE TECHNICZNE, MATERIAŁOWE I WYPOSAŻENIE;</w:t>
      </w: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…………….…….str. 17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</w:rPr>
        <w:t>UWAGA: szczegółowe dane techniczne, wykonawcze i materiałowe – wg projektu wykonawczego oraz technicznego.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IV</w:t>
      </w:r>
      <w:r>
        <w:rPr>
          <w:rFonts w:cs="Arial" w:ascii="Arial" w:hAnsi="Arial"/>
          <w:b/>
          <w:bCs/>
          <w:sz w:val="24"/>
          <w:szCs w:val="24"/>
          <w:u w:val="single"/>
        </w:rPr>
        <w:t>. UWAGI KOŃCOWE;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………………………………………………………….…...str. 21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CZĘŚĆ RYSUNKOWA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Spis rysunków: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S-1 – Plan sytuacyjny,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2. I-1 – Inwentaryzacja - rzut,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3. I-2 – Inwentaryzacja - przekrój,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4. A-1 – Rzut podstawowy (AG-II),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5. A-2 – Przekrój ogólny / detal 1, skala 1:100 / 1:20,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6. A-3 – Prace poniżej poziomu posadzki, detale: 2, 3, 4, skala 1:100 / 1:20,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7. A-4  – Wyposażenie sportowe i ochronne - rzut,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D: ZAŁĄCZNIKI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Informacja Bezpieczeństwa i Ochrony Zdrowia (BIOZ)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-91440</wp:posOffset>
            </wp:positionH>
            <wp:positionV relativeFrom="paragraph">
              <wp:posOffset>73660</wp:posOffset>
            </wp:positionV>
            <wp:extent cx="5895975" cy="8105775"/>
            <wp:effectExtent l="0" t="0" r="0" b="0"/>
            <wp:wrapSquare wrapText="largest"/>
            <wp:docPr id="1" name="Obraz1" descr="" title="Kopia uprawnień budowlanych projektanta Huberta A. Ciesielskiego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Huberta A. Ciesielskiego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481" t="-340" r="-481" b="-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-163830</wp:posOffset>
            </wp:positionH>
            <wp:positionV relativeFrom="paragraph">
              <wp:posOffset>158750</wp:posOffset>
            </wp:positionV>
            <wp:extent cx="5975985" cy="8223250"/>
            <wp:effectExtent l="0" t="0" r="0" b="0"/>
            <wp:wrapSquare wrapText="largest"/>
            <wp:docPr id="2" name="Obraz2" descr="" title="Kopia uprawnień budowlanych projektanta Huberta A. Ciesielskiego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Huberta A. Ciesielskiego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481" t="-340" r="-481" b="-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985" cy="822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</w:rPr>
        <w:t>Obraz-2.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11520" cy="8234680"/>
            <wp:effectExtent l="0" t="0" r="0" b="0"/>
            <wp:wrapSquare wrapText="largest"/>
            <wp:docPr id="3" name="Obraz3" descr="" title="Kopia zaświadczenia z izby projektanta Huberta A. Ciesielski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Huberta A. Ciesielskiego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267" t="-189" r="-267" b="-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520" cy="8234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Obraz-3. Kopia zaświadczenia z izby zawodowej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architektoniczno - budowlany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„B”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08"/>
          <w:tab w:val="left" w:pos="3114" w:leader="none"/>
        </w:tabs>
        <w:spacing w:lineRule="auto" w:line="240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55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FF0000"/>
          <w:sz w:val="28"/>
          <w:szCs w:val="28"/>
        </w:rPr>
      </w:pPr>
      <w:r>
        <w:rPr>
          <w:rFonts w:cs="Arial" w:ascii="Arial" w:hAnsi="Arial"/>
          <w:color w:val="FF0000"/>
          <w:sz w:val="28"/>
          <w:szCs w:val="28"/>
        </w:rPr>
      </w:r>
    </w:p>
    <w:p>
      <w:pPr>
        <w:pStyle w:val="Heading2"/>
        <w:numPr>
          <w:ilvl w:val="0"/>
          <w:numId w:val="1"/>
        </w:numPr>
        <w:ind w:hanging="0" w:start="0"/>
        <w:jc w:val="start"/>
        <w:rPr>
          <w:rFonts w:ascii="Arial" w:hAnsi="Arial"/>
          <w:sz w:val="24"/>
          <w:szCs w:val="24"/>
        </w:rPr>
      </w:pPr>
      <w:r>
        <w:rPr>
          <w:sz w:val="24"/>
          <w:szCs w:val="24"/>
        </w:rPr>
      </w:r>
    </w:p>
    <w:p>
      <w:pPr>
        <w:pStyle w:val="Heading2"/>
        <w:numPr>
          <w:ilvl w:val="0"/>
          <w:numId w:val="1"/>
        </w:numPr>
        <w:ind w:hanging="0" w:start="0"/>
        <w:jc w:val="start"/>
        <w:rPr>
          <w:sz w:val="26"/>
          <w:szCs w:val="26"/>
        </w:rPr>
      </w:pPr>
      <w:r>
        <w:rPr>
          <w:sz w:val="26"/>
          <w:szCs w:val="26"/>
        </w:rPr>
        <w:t>I. DANE OGÓLNE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0"/>
          <w:numId w:val="1"/>
        </w:numPr>
        <w:ind w:hanging="0" w:start="0"/>
        <w:jc w:val="start"/>
        <w:rPr>
          <w:rFonts w:eastAsia="HG Mincho Light J" w:cs="Arial"/>
          <w:b/>
          <w:bCs/>
          <w:u w:val="single"/>
        </w:rPr>
      </w:pPr>
      <w:r>
        <w:rPr>
          <w:sz w:val="24"/>
          <w:szCs w:val="24"/>
        </w:rPr>
        <w:t>1. Przedmiot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 xml:space="preserve">Przedmiotem niniejszego opracowania jest projekt architektoniczno - budowlany, wewnętrznego remontu sali gimnastycznej, znajdującej się w budynku „B” Zespołu Szkół Ponadpodstawowych Nr 2,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Centrum Kształcenia Zawodowego im. Tadeusza Kościuszki w Łowiczu. Adres inwestycji: ul. Blich 10, 99-400 Łowicz, dz. nr ewid. 1376/6, obręb: 0004 – Korabka, Łowicz.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ab/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 xml:space="preserve">w ramach projektu pod nazwą: </w:t>
      </w:r>
      <w:r>
        <w:rPr>
          <w:rFonts w:cs="Arial" w:ascii="Arial" w:hAnsi="Arial"/>
          <w:sz w:val="24"/>
          <w:szCs w:val="24"/>
        </w:rPr>
        <w:t xml:space="preserve">„Modernizacja pracowni warsztatowych do potrzeb zdobycia kwalifikacji branżowych na nowoczesnym rynku pracy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>mechanizacji rolnictwa”.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ab/>
        <w:t>Dokumentacja dotycząca budynku „C” – stanowi odrębne opracowanie.</w:t>
      </w:r>
    </w:p>
    <w:p>
      <w:pPr>
        <w:pStyle w:val="Zawartotabeli"/>
        <w:widowControl w:val="false"/>
        <w:suppressLineNumbers/>
        <w:suppressAutoHyphens w:val="false"/>
        <w:bidi w:val="0"/>
        <w:spacing w:lineRule="auto" w:line="240" w:before="0" w:after="0"/>
        <w:ind w:end="57"/>
        <w:jc w:val="start"/>
        <w:rPr>
          <w:rFonts w:ascii="Arial" w:hAnsi="Arial" w:eastAsia="Times New Roman" w:cs="Times New Roman"/>
          <w:b/>
          <w:color w:val="auto"/>
          <w:sz w:val="24"/>
          <w:szCs w:val="24"/>
          <w:u w:val="single"/>
          <w:lang w:val="pl-PL" w:eastAsia="zh-CN" w:bidi="ar-SA"/>
        </w:rPr>
      </w:pPr>
      <w:r>
        <w:rPr>
          <w:rFonts w:eastAsia="Times New Roman" w:cs="Times New Roman" w:ascii="Arial" w:hAnsi="Arial"/>
          <w:b/>
          <w:color w:val="auto"/>
          <w:sz w:val="24"/>
          <w:szCs w:val="24"/>
          <w:u w:val="single"/>
          <w:lang w:val="pl-PL" w:eastAsia="zh-CN" w:bidi="ar-SA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ascii="Arial" w:hAnsi="Arial"/>
          <w:sz w:val="24"/>
          <w:szCs w:val="24"/>
        </w:rPr>
      </w:pPr>
      <w:r>
        <w:rPr>
          <w:sz w:val="24"/>
          <w:szCs w:val="24"/>
        </w:rPr>
        <w:t>2. Podstawa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Times New Roman"/>
          <w:b/>
          <w:color w:val="auto"/>
          <w:sz w:val="24"/>
          <w:szCs w:val="24"/>
          <w:u w:val="single"/>
          <w:lang w:val="pl-PL" w:eastAsia="zh-CN" w:bidi="ar-SA"/>
        </w:rPr>
      </w:pPr>
      <w:r>
        <w:rPr>
          <w:rFonts w:eastAsia="Times New Roman" w:cs="Times New Roman" w:ascii="Arial" w:hAnsi="Arial"/>
          <w:b/>
          <w:color w:val="auto"/>
          <w:sz w:val="24"/>
          <w:szCs w:val="24"/>
          <w:u w:val="single"/>
          <w:lang w:val="pl-PL" w:eastAsia="zh-CN" w:bidi="ar-SA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Zlecenie inwestora,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Umowa z inwestorem,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Ustalenia wynikające z formy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Wizja lokalna w miejscu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Pomiary inwentaryzacyjne przeprowadzone w obrębie przedmiotowych pomieszczeń,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Mapa zasadnicza,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Wytyczne i rozwiązania projektowe pozostałych branż,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Podstawy formalno – prawne.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eastAsia="HG Mincho Light J" w:cs="Arial"/>
          <w:b/>
          <w:bCs/>
          <w:u w:val="single"/>
        </w:rPr>
      </w:pPr>
      <w:r>
        <w:rPr>
          <w:sz w:val="24"/>
          <w:szCs w:val="24"/>
        </w:rPr>
        <w:t>3. Dane i parametry inwentaryzacyjne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>Przedmiotowy budynek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Sala gimnastyczna podlegające pracom remontowym znajduje się w budynku „B” Zespołu Szkół Ponadpodstawowych Nr 2, zlokalizowanym przy ul. Blich 10, na dz. nr 1376/6. Przedmiotowy obiekt usytuowany jest w frontowej części terenu obejmującego kompleks zabudowań szkolnych – od strony wejścia głównego na posesję.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wzniesiony jest na fundamentach betonowych, jako murowany (ściany docieplone styropianem), przekryty stropodachem z płyt korytkowych. W części stanowiącej salę gimnastyczną stropodach opiera się na stalowej konstrukcji kratowej. Dach z zewnątrz docieplony jest styropianem i pokryty papą. W części mieszczącej przedmiotową salę gimnastyczną - pod posadzką (przy ścianie zewnętrznej południowej i wschodniej) przebiega kanał instalacyjny.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zasilany jest w energię elektryczną i wodę poprzez podłączenia do ogólnej infrastruktury terenu. Energia cieplna do zasilania c.o. i c.w.u. wytwarzana jest w kotłowni usytuowanej w budynku „C”. Rozprowadzenie obwodów grzewczych zasilających salę, odbywa się z węzła cieplnego zlokalizowanego w budynku B. Obiekt posiada pełne wyposażenie w instalacje wewnętrzne: instalację elektryczną, internetową, instalacje sanitarne (wodną, kanalizacyjną, cwu, i co – grzejnikową). Pomieszczenia w budynku wyposażone są w kanały wentylacji grawitacyjnej, a część z nich w tym przedmiotowa sala gimnastyczna posiada wyciągi mechaniczne zaopatrzone w wentylatory ścienne.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Ogólny opis  sali gimnastycznej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budynku „B”.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– bezpośrednio na główny korytarz.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 jedno pomieszczenie na planie prostokątnym.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parkiet drewniany na warstwie legarowej i wylewce betonowej z izolacją z papy; układ warstw istniejącej posadzki: 1) parkiet na kleju, 2) podłoga z desek 3,2cm, 3) legary drewniane 7,5x7,5cm w rozstawie 100cm w dwóch warstwach na krzyż, 4) papa, 5) wylewka betonowa – ok.7cm, 6) warstwy podbudowy / gruntu.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 typu „baranek”,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dwuskrzydłowe, okna / przeszklenia - PCV,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 żebrowe pod oknami i w przestrzeniach międzyokiennych,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230V, oświetlenie górne podwieszone do stalowej listwy pod sufitem,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(wywietrzaki dachowe) oraz wentylacja poprzez elektryczne wentylatory ścienne.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– 396,5m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– 8,12 – 7,40m (w pomiarze od płyt korytkowych stropu do podłogi),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- Kanał techniczny przebiegający pod posadzką sali wzdłuż ściany południowej i wschodniej. Wymiary kanału technicznego: głębokość  / szerokość - około 120cm  / 80cm. Przekrycie kanału stanowią płyty betonowe 90x70cm o gr. 7cm oraz warstwy posadzkowe znajdujące się ponad kanałem. Ściany boczne kanału wykonane jako murowane.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UWAGA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: dane ad kanału – na podstawie oględzin dokonanych w pomieszczeniu przed salą; w razie stwierdzenia innych parametrów należy skorygować dane.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w stosunku do komunikacji w budynku – na równi z poziomem posadzki korytarza.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ascii="Arial" w:hAnsi="Arial"/>
          <w:sz w:val="24"/>
          <w:szCs w:val="24"/>
        </w:rPr>
      </w:pPr>
      <w:r>
        <w:rPr>
          <w:sz w:val="24"/>
          <w:szCs w:val="24"/>
        </w:rPr>
        <w:t>4. Zakres planowanych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>Założenia projektowe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Planowany remont ma na celu modernizację sali gimnastycznej w obrębie jej wnętrza, w tym instalacji elektrycznej oraz c.o.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Wykonane zostaną nowe warstwy wykończeniowe przegród (sufitów, ścian) oraz nowa podłoga wraz z podbudową. Przewidziano montaż nowych drzwi wejściowych do pomieszczenia. Dokonana zostanie wymiana instalacji elektrycznej wewnętrznej wraz z kablem zasilającym z doposażeniem w instalację nagłośnienia.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Ponadto wykonane zostaną: zabezpieczenia akustyczne ścian w poziomie użytkowym sali, oraz montaż wyposażenia sportowego i ochronnego.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Planowana inwestycja nie będzie ingerować w konstrukcję ścian, stropów budynku i jego układ funkcjonalny.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>Projektowany zakres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Uwaga: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 xml:space="preserve">-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wymienione prace dotyczące instalacji elektrycznych, sanitanych i co, ujęte zostały w projektach branżowych poszczególnych instalacji;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u w:val="single"/>
        </w:rPr>
        <w:t>- wymienione prace architektoniczno – budowlane, szczegółowo opisane zostały w projekcie wykonawczym i technicznym branży architektoniczno – budowlanej;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Zakres prac: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 i instalacji c.o. w obrębie sali,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likwidacja kanału instalacyjnego,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warstw posadzkowych do poziomu gruntu,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/ zmycie starej farby z powierzchni przegród,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oczyszczenie konstrukcji stalowych,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nagłośnienia,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 i malowanie ścian,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posadzki z dostosowaniem do funkcji i sposobów wykorzystywania sali, wraz z warstwami podbudowy i elementami do montażu wyposażenia,</w:t>
      </w:r>
    </w:p>
    <w:p>
      <w:pPr>
        <w:pStyle w:val="Normal"/>
        <w:spacing w:lineRule="auto" w:line="276" w:before="0" w:after="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na odnowionych powierzchniach ściennych zabezpieczeń akustycznych eliminujących pogłos,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udrożnienie kanałów wentylacyjnych),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montaż drzwi o podwyższonej izolacyjności akustycznej z ościeżnicą,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zabezpieczeń przed uderzeniem piłką: zabezpieczenie okien w formie siatki i osłon grzejnikowych,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kotary do podziału sali na dwa niezależne pola,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instalacji do podłączenia systemu nagłośnienia,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montaż wyposażenia podstawowego: tablice do gry w koszykówkę, zestawy do sytuowania elementów w podłogach tj. tuleje systemowe do montażu bramek i słupków siatkarskich, montaż bramek, montaż słupków siatkarskich z osprzętem, 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drabinek gimnastycznych,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i instalacja tablic wyników,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pozostałego wyposażenia,</w:t>
      </w:r>
    </w:p>
    <w:p>
      <w:pPr>
        <w:pStyle w:val="Normal"/>
        <w:spacing w:lineRule="auto" w:line="276" w:before="0" w:after="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zastosowanie dedykowanego dla sal gimnastycznych oświetlenia,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Braille'a,</w:t>
      </w:r>
    </w:p>
    <w:p>
      <w:pPr>
        <w:pStyle w:val="Normal"/>
        <w:suppressAutoHyphens w:val="false"/>
        <w:spacing w:lineRule="auto" w:line="240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wywóz i utylizacja gruzu oraz pozostałych materiałów z rozbiórek / 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prace porządkowe,</w:t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/>
          <w:color w:val="000000"/>
          <w:shd w:fill="auto" w:val="clear"/>
        </w:rPr>
      </w:pPr>
      <w:r>
        <w:rPr>
          <w:sz w:val="24"/>
          <w:szCs w:val="24"/>
        </w:rPr>
        <w:t>5. Ogólne zasady prowadzenia robót budowlanych, montażowych, demontażowych i rozbiórkowych oraz zagospodarowanie materiału rozbiórkowego i z demontażu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Prace przygotowawcze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Przed przystąpieniem do zasadniczych prac  należy przeprowadzić następujące czynności przygotowawcze: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przygotowanie pomieszczenia sali gimnastycznej i odgrodzenie od pomieszczeń pozostających w użytkowaniu,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komunikacji i dostępu bez kolizji z ogólną komunikacją w budynku,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miejsca gromadzenia materiałów budowlanych oraz wyznaczenie miejsca gromadzenia i segregacji materiału z rozbiórek i demontażu,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odseparowanie sali gimnastycznej  w sposób zabezpieczający przed dostępem osób niepowołanych i uniemożliwiający rozprzestrzenianie materiałów budowlanych, porozbiórkowych oraz narzędzi poza wyznaczony teren,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oznaczenie tablicami ostrzegawczymi części budynku podlegającej remontowi,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sprawdzenie pomieszczenia w celu wyeliminowania istnienia niezlokalizowanych wcześniej instalacji i urządzeń, mogących ulec zniszczeniu lub stanowić zagrożenie w trakcie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 xml:space="preserve">Sposób prowadzenia robót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Prace należy prowadzić z zachowaniem szczególnej ostrożności i z podjęciem wszelkich kroków bezpieczeństwa. Podstawowe warunki realizacji robót obejmują niżej wymienione zalecenia.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przy użyciu odpowiednich narzędzi i sprzętu. Przewiduje się prowadzenie prac ręcznych, jak również z użyciem sprzętu mechanicznego / elektrycznego, a w przypadku przenoszenia i przewożenia materiałów budowlanych oraz materiałów rozbiórkowych – sprzętu ciężkiego.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 prowadzeniu prac należy stosować urządzenia zabezpieczające i ochronne, umożliwiające bezpieczne działanie sprzętu mechanicznego.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Pracownicy powinni być zaopatrzeni w środki ochronne jak odzież, maski, okulary, środki higieniczne.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realizować wyłącznie po zabezpieczeniu pomieszczeń podlegających remontowi i zapewnieniu bezpieczeństwa osób postronnych.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Materiały budowlane powinny być gromadzone w pomieszczeniach podlegających remontowi lub w wyznaczonych miejscach na zewnątrz tych pomieszczeń bez dostępu osób postronnych. Materiał rozbiórkowy powinien być sukcesywnie przenoszony w wyznaczone miejsca. Nie dopuszcza się zalegania materiału w terenie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z zachowaniem ostrożności, w ustalonej przez kierującego robotami kolejności. Prace rozbiórkowe i demontażowe należy wykonywać stopniowo bez wyrywania, obalania, podcinania dużych fragmentów, mogących uszkodzić konstrukcję przegród istniejącego budynku lub inne jego elementy.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Zagospodarowanie materiału rozbiórkowego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 xml:space="preserve">Wykonawca jest zobowiązany do zagospodarowania i wywiezienia odpadów powstałych w procesie rozbiórek i demontaży. Posiadacz odpadów powinien postępować z odpadami w sposób zgodny z zasadami gospodarowania odpadami oraz wymogami ochrony środowiska. Materiały z robót rozbiórkowych powinny być segregowane w miejscu ich demontażu i magazynowane selektywnie do czasu wywozu z terenu robót. Zgodnie </w:t>
      </w:r>
      <w:r>
        <w:rPr>
          <w:rFonts w:cs="Arial" w:ascii="Arial" w:hAnsi="Arial"/>
          <w:sz w:val="24"/>
          <w:szCs w:val="24"/>
        </w:rPr>
        <w:t>z Rozporządzeniem Ministra Środowiska z dnia 27 września 2001 r. w sprawie katalogu odpadów (Dz.U. Nr 112, póz. 1206) materiały z rozbiórki należą do grupy 17 - odpady z budowy, remontów i demontażu obiektów budowlanych oraz infrastruktury drogowej.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rezultacie robót rozbiórkowych zostaną na placu rozbiórki wytworzone następujące rodzaje odpadów: 17.01.01 - gruz betonowy, 17.01.02 - gruz ceglany,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17.01.03 - odpady innych materiałów ceram. i elementów wyposażenia, 17.01.80 - usunięte tynki, 17.02.03 - tworzywa sztuczne, 17.04.05 - żelazo i stal, 17.09.04 - zmieszane odpady z demontażu, 17.02.01 – drewno.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Nie stwierdzono odpadów azbestowych. Z wytworzonych odpadów należy oddzielić te, które mogą stanowić zagrożenie dla ochrony środowiska. Wywozem i utylizacją ewentualnych elementów stanowiących zagrożenie dla środowiska, powinny zajmować się specjalistyczne firmy stosujące odpowiednio bezpieczne technologie - nie narażające ludzi w trakcie wykonywania prac i nie skażające dodatkowo otoczenia. Pozostałe odpady podlegają składowaniu na składowisku odpadów komunalnych.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sz w:val="26"/>
          <w:szCs w:val="26"/>
        </w:rPr>
      </w:pPr>
      <w:r>
        <w:rPr>
          <w:sz w:val="26"/>
          <w:szCs w:val="26"/>
        </w:rPr>
        <w:t>II. CZĘŚĆ OPISOWA FORMALNA  DO PROJEKTU ARCHITEKTONICZNO – BUDOWLANEGO</w:t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 w:val="false"/>
          <w:bCs w:val="false"/>
        </w:rPr>
      </w:pPr>
      <w:r>
        <w:rPr>
          <w:sz w:val="24"/>
          <w:szCs w:val="24"/>
        </w:rPr>
        <w:t>1. Rodzaj i kategoria obiektu budowlanego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 xml:space="preserve">Przedmiotem inwestycji jest remont sali gimnastycznej w budynku szkolnym. Budynki szkolne – </w:t>
      </w:r>
      <w:r>
        <w:rPr>
          <w:rFonts w:cs="Arial" w:ascii="Arial" w:hAnsi="Arial"/>
          <w:b/>
          <w:bCs/>
          <w:sz w:val="24"/>
          <w:szCs w:val="24"/>
        </w:rPr>
        <w:t>kategoria obiektu - IX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 w:val="false"/>
          <w:bCs w:val="false"/>
        </w:rPr>
      </w:pPr>
      <w:r>
        <w:rPr>
          <w:sz w:val="24"/>
          <w:szCs w:val="24"/>
        </w:rPr>
        <w:t>2. Zamierzony sposób użytkowania oraz program użytkowy obiektu budowlanego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Dotychczasowa funkcja i program użytkowy obiektu budowlanego oraz przedmiotowej sali gimnastycznej nie ulegnie zmianie. Pomieszczenie użytkowane będzie zgodnie z jego pierwotnym przeznaczeniem jako miejsce do prowadzenia zajęć wychowania fizycznego, imprez sportowych i okolicznościowych.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Heading2"/>
        <w:numPr>
          <w:ilvl w:val="0"/>
          <w:numId w:val="1"/>
        </w:numPr>
        <w:ind w:hanging="0" w:start="0"/>
        <w:jc w:val="start"/>
        <w:rPr>
          <w:rFonts w:cs="Arial"/>
        </w:rPr>
      </w:pPr>
      <w:r>
        <w:rPr>
          <w:sz w:val="24"/>
          <w:szCs w:val="24"/>
        </w:rPr>
        <w:t>3. Układ przestrzenny, forma architektoniczna oraz podstawowe dane techniczne, wykończeniowe i kolorystyka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Układ przestrzenny i forma architektoniczna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Planowana inwestycja nie będzie ingerować w konstrukcję ścian, stropów budynku i jego układ funkcjonalny. Sala zachowa swoje dotychczasowe gabaryty i parametry.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Planowany remont ma na celu modernizację sali gimnastycznej w obrębie jej wnętrza, w tym instalacji elektrycznej oraz c.o. Wykonane zostaną nowe warstwy wykończeniowe przegród (sufitów, ścian) oraz nowa podłoga sportowa wraz z podbudową. Przewidziano montaż nowych drzwi wejściowych do pomieszczenia. Dokonana zostanie wymiana instalacji elektrycznej wewnętrznej z doposażeniem w instalację nagłośnienia.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Ponadto wykonane zostaną: zabezpieczenia akustyczne ścian w poziomie użytkowym sali, oraz montaż wyposażenia sportowego i ochronnego.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Podstawowe dane techniczne, materiałowe, wykończeniowe i kolorystyka</w:t>
      </w:r>
    </w:p>
    <w:p>
      <w:pPr>
        <w:pStyle w:val="Normal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Uwaga:</w:t>
      </w:r>
      <w:r>
        <w:rPr>
          <w:rFonts w:cs="Arial" w:ascii="Arial" w:hAnsi="Arial"/>
          <w:b w:val="false"/>
          <w:bCs w:val="false"/>
          <w:sz w:val="24"/>
          <w:szCs w:val="24"/>
        </w:rPr>
        <w:t xml:space="preserve"> szczegółowe dane techniczne, wykonawcze,  materiałowe i wykończeniowe – wg projektu wykonawczego oraz technicznego.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</w:rPr>
        <w:t>Ogólne rozwiązania techniczne planowanego remontu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– wykończone farbą lateksową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Podłoga – sportowa drewniana, układana na warstwie płytowo - legarowej i wylewce betonowej, izolowanej termicznie styropianem XPS o gr. 15cm.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Konstrukcja posadzki – z warstw podbudowy z kruszywa i płyty betonowej izolowanej od góry papą modyfikowaną;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Wentylacja podłogi – z zachowaniem istniejącego ciągu (wlot kanałami ściennymi, wylot szczelinami w listwach podłogowych);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Listwy podłogowe w nawiązaniu do podłogi z zastosowaniem fabrycznych szczelin wentylacyjnych;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Stopy pod montaż tulei sprzętu sportowego – betonowe zbrojone;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Zasyp kanału technicznego – z pospółki zagęszczanej warstwami;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Zaślepienia kanału pod ścianami – z bloczków betonowych na podbiciu betonowym;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Stolarka – drzwi dwuskrzydłowe o podwyższonej izolacyjności akustycznej;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Sufit – wykończony farbą o właściwościach akustycznych;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</w:rPr>
        <w:t>Wyposażenie ochronne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Parapety i osłony grzejnikowe – z płyty HPL;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Piłkochwyty – z siatki polipropylenowej z systemem linek napinających;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Kotara grodząca na szynie prowadzącej lub linie stalowej wykonana z siatki i materiału półprzezroczystego;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Panele akustyczne odporne na uderzenia piłką - z wełny skalnej lub maty akustyczne z pianki poliuretanowej;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none"/>
        </w:rPr>
        <w:t>Wyposażenie sportowe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- Tablice do gry w koszykówkę (uchylne) z koszami i siatką w zestawie;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- Bramki do piłki ręcznej z siatkami i tulejami montażowymi (wraz z deklami);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- Słupki do montażu siatki wraz z siatkąm antenkami, tulejami i deklami;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- Zestaw do unihokeja z bramkami i bandami;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- Drabinki gimnastyczne;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- Montaż tablic wyników;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none"/>
        </w:rPr>
        <w:t>Instalacje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- Instalacja c.o. (wymiana rurociągu z grzejnikami);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- Instalacja elektryczna i strukturalna (okablowanie, gniazda, zasilanie z RG, wewnętrzna tablica TR);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- Osprzęt XLR (okablowanie, gniazda, skrzynka) do instalacji nagłośnienia;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/>
      </w:pPr>
      <w:r>
        <w:rPr/>
      </w:r>
    </w:p>
    <w:p>
      <w:pPr>
        <w:pStyle w:val="Heading2"/>
        <w:numPr>
          <w:ilvl w:val="0"/>
          <w:numId w:val="1"/>
        </w:numPr>
        <w:ind w:hanging="0" w:start="0"/>
        <w:jc w:val="start"/>
        <w:rPr>
          <w:rFonts w:eastAsia="HG Mincho Light J" w:cs="Arial"/>
          <w:b w:val="false"/>
          <w:bCs w:val="false"/>
          <w:u w:val="none"/>
        </w:rPr>
      </w:pPr>
      <w:r>
        <w:rPr>
          <w:sz w:val="24"/>
          <w:szCs w:val="24"/>
        </w:rPr>
        <w:t>4. Charakterystyczne parametry obiektu budowlanego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(bez zmian) – 396,5m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(bez zmian) – 8,12 – 7,40m (w pomiarze od płyt korytkowych stropu do podłogi),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Wymiary pomieszczenia w świetle ścian (bez zmian) około 26,6m x 14,9m.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 xml:space="preserve"> </w:t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 w:val="false"/>
          <w:bCs w:val="false"/>
        </w:rPr>
      </w:pPr>
      <w:r>
        <w:rPr>
          <w:sz w:val="24"/>
          <w:szCs w:val="24"/>
        </w:rPr>
        <w:t>5. Opis warunków gruntowo - wodnych oraz informacja o sposobie posadowienia obiektu budowlanego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ab/>
        <w:t xml:space="preserve">Bez zastosowania – na etapie projektowym. </w:t>
      </w:r>
      <w:r>
        <w:rPr>
          <w:rFonts w:cs="Arial" w:ascii="Arial" w:hAnsi="Arial"/>
          <w:i w:val="false"/>
          <w:iCs w:val="false"/>
          <w:sz w:val="24"/>
          <w:szCs w:val="24"/>
        </w:rPr>
        <w:t>W ramach inwestycji nie będzie realizowane posadowienie elementów konstrukcyjnych budynku.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Badania zdatności gruntu pod ułożenie warstw posadzkowych i określenie charakterystyki gruntu, stopnia konsolidacji – powinno nastąpić po wyłączeniu sali z użytkowania, usunięciu istniejących warstw posadzkowych i  podbudowy (wraz z korytowaniem pod nową podbudowę). W ramach prac należy dokonać oceny istniejącego gruntu w celu zapewnienia prawidłowego wykonania projektowanej posadzki.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/>
          <w:bCs/>
        </w:rPr>
      </w:pPr>
      <w:r>
        <w:rPr>
          <w:sz w:val="24"/>
          <w:szCs w:val="24"/>
        </w:rPr>
        <w:t>6. Liczba lokali mieszkalnych i użytkowych oraz lokali dostępnych dla osób niepełnosprawnych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 budynku nie znajdują się żadne pomieszczenia mieszkalne i użytkowe komercyjne. Pomieszczenie sali gimnastycznej podlegające projektowanym pracom remontowym, będzie dostępne dla osób z niepełnosprawnościami (w tym poruszających się na wózkach) z poziomu przylegającego korytarza.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eastAsia="Arial" w:cs="Arial" w:ascii="Arial" w:hAnsi="Arial"/>
          <w:b w:val="false"/>
          <w:bCs w:val="false"/>
          <w:sz w:val="24"/>
          <w:szCs w:val="24"/>
        </w:rPr>
        <w:t xml:space="preserve"> </w:t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/>
          <w:bCs/>
        </w:rPr>
      </w:pPr>
      <w:r>
        <w:rPr>
          <w:sz w:val="24"/>
          <w:szCs w:val="24"/>
        </w:rPr>
        <w:t>7. Opis zapewnienia warunków do korzystania z budynku przez osoby niepełnosprawne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O zapewnieniu warunków dla osób niepełnosprawnych mówi w art. 1 Konwencji o prawach osób niepełnosprawnych, sporządzonej w Nowym Jorku dnia 13 grudnia 2006 r., w tym osoby starsze.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Wskazaną dostępność dla osób niepełnosprawnych należy rozumieć szeroko jako dostępność dla osób z wszelkiego rodzaju niepełnosprawnościami. Do osób niepełnosprawnych zalicza się osoby, które mają długotrwale naruszoną sprawność fizyczną, psychiczną, intelektualną lub w zakresie zmysłów, co może w oddziaływaniu z różnymi barierami, utrudniać im pełny i skuteczny udział w życiu społecznym, na zasadzie równości z innymi osobami.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 rozporządzeniu Ministra Infrastruktury z dnia 12 kwietnia 2002 r. w sprawie warunków technicznych, jakim powinny odpowiadać budynki i ich usytuowanie znajduje się szereg wymogów mających na celu zapewnienie dostępności budynków dla osób niepełnosprawnych.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ab/>
        <w:t>Program planowanej inwestycji nie ujmuje zagadnień związanych z dostępnością całego obiektu dla osób z niepełnosprawnościami, w szczególności dla osób poruszających się na wózkach. Inwestycja dotyczy wewnętrznego remontu pomieszczenia sali gimnastycznej.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 xml:space="preserve">W ramach remontu zapewnione będzie  przejście z korytarza do sali gimnastycznej  bez barier architektonicznych (wejście bezprogowe). 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Przy projektowaniu zastosowano ogólne wytyczne w zakresie dostępności przedmiotowego pomieszczenia, zobowiązując do zapewnienia odpowiedniej szerokości przejść i drzwi.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Inne zalecenia i wytyczne: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Do budynku powinno być zapewnione utwardzone dojście o szerokości minimum 1,5 m, które umożliwi niepełnosprawnym dostęp do całego budynku i sali gimnastycznej oraz do tych części, z których będą korzystały.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Wejście do budynku i przejścia z różnicą poziomów wewnątrz budynku powinna obsługiwać oprócz schodów pochylnia, zaopatrzona w poręcze, o nachyleniu, długości biegów, szerokości oraz wielkości powierzchni manewrowych,  zaprojektowanych  zgodnie z obowiązującymi wymogami.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Trasa przejazdu od ciągu pieszo – jezdnego ulicy do drzwi wejściowych powinna być wykonana bez uskoków i stopni mogących utrudniać przejazd wózkiem.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Poziom nawierzchni przed wejściem ogólnodostępnym powinien być równy poziomowi posadzki wewnętrznej, co zapewni dostęp bez progów.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Przed budynkiem znajduje się teren przystosowany na organizację i wyznaczenie miejsc postojowych, które spełnią parametry do korzystania przez osoby niepełnosprawne, o wym.3.6m x5 m.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 w:val="false"/>
          <w:bCs w:val="false"/>
        </w:rPr>
      </w:pPr>
      <w:r>
        <w:rPr>
          <w:sz w:val="24"/>
          <w:szCs w:val="24"/>
        </w:rPr>
        <w:t>8. Parametry techniczne charakteryzujące wpływ na środowisko, zdrowie ludzi i obiekty sąsiednie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kern w:val="2"/>
          <w:sz w:val="24"/>
          <w:szCs w:val="24"/>
        </w:rPr>
      </w:pPr>
      <w:r>
        <w:rPr>
          <w:rFonts w:eastAsia="Times New Roman" w:cs="Arial" w:ascii="Arial" w:hAnsi="Arial"/>
          <w:b/>
          <w:bCs/>
          <w:kern w:val="2"/>
          <w:sz w:val="24"/>
          <w:szCs w:val="24"/>
          <w:u w:val="none"/>
        </w:rPr>
        <w:t>Gospodarka wodno - ściekowa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/>
          <w:bCs/>
          <w:kern w:val="2"/>
          <w:sz w:val="24"/>
          <w:szCs w:val="24"/>
          <w:u w:val="none"/>
        </w:rPr>
      </w:pPr>
      <w:r>
        <w:rPr>
          <w:rFonts w:eastAsia="Times New Roman" w:cs="Arial" w:ascii="Arial" w:hAnsi="Arial"/>
          <w:kern w:val="2"/>
          <w:sz w:val="24"/>
          <w:szCs w:val="24"/>
        </w:rPr>
        <w:tab/>
        <w:t xml:space="preserve">Inwestycja nie wpłynie na zapotrzebowanie wody oraz ilość i jakość odprowadzanych ścieków w stosunku do istniejących. 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kern w:val="2"/>
          <w:sz w:val="24"/>
          <w:szCs w:val="24"/>
        </w:rPr>
      </w:pPr>
      <w:r>
        <w:rPr>
          <w:rFonts w:eastAsia="Times New Roman" w:cs="Arial" w:ascii="Arial" w:hAnsi="Arial"/>
          <w:b/>
          <w:bCs/>
          <w:kern w:val="2"/>
          <w:sz w:val="24"/>
          <w:szCs w:val="24"/>
          <w:u w:val="none"/>
        </w:rPr>
        <w:t>Ochrona powietrza atmosferycznego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/>
          <w:bCs/>
          <w:kern w:val="2"/>
          <w:sz w:val="24"/>
          <w:szCs w:val="24"/>
          <w:u w:val="none"/>
        </w:rPr>
      </w:pPr>
      <w:r>
        <w:rPr>
          <w:rFonts w:eastAsia="Times New Roman" w:cs="Arial" w:ascii="Arial" w:hAnsi="Arial"/>
          <w:kern w:val="2"/>
          <w:sz w:val="24"/>
          <w:szCs w:val="24"/>
        </w:rPr>
        <w:tab/>
        <w:t xml:space="preserve"> Jakość i ilość zanieczyszczeń nie zmieni się w stosunku do istniejących.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kern w:val="2"/>
          <w:sz w:val="24"/>
          <w:szCs w:val="24"/>
        </w:rPr>
      </w:pPr>
      <w:r>
        <w:rPr>
          <w:rFonts w:eastAsia="Times New Roman" w:cs="Arial" w:ascii="Arial" w:hAnsi="Arial"/>
          <w:b/>
          <w:bCs/>
          <w:kern w:val="2"/>
          <w:sz w:val="24"/>
          <w:szCs w:val="24"/>
          <w:u w:val="none"/>
        </w:rPr>
        <w:t>Odpady stałe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/>
          <w:bCs/>
          <w:kern w:val="2"/>
          <w:sz w:val="24"/>
          <w:szCs w:val="24"/>
          <w:u w:val="none"/>
        </w:rPr>
      </w:pPr>
      <w:r>
        <w:rPr>
          <w:rFonts w:eastAsia="Times New Roman" w:cs="Arial" w:ascii="Arial" w:hAnsi="Arial"/>
          <w:kern w:val="2"/>
          <w:sz w:val="24"/>
          <w:szCs w:val="24"/>
        </w:rPr>
        <w:tab/>
        <w:t>Inwestycja nie spowoduje powstawania odpadów niebezpiecznych dla środowiska, zdrowia i życia ludzi i innych odpadów niż wynikające z dotychczasowego użytkowania budynku.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kern w:val="2"/>
          <w:sz w:val="24"/>
          <w:szCs w:val="24"/>
        </w:rPr>
      </w:pPr>
      <w:r>
        <w:rPr>
          <w:rFonts w:eastAsia="Times New Roman" w:cs="Arial" w:ascii="Arial" w:hAnsi="Arial"/>
          <w:b/>
          <w:bCs/>
          <w:kern w:val="2"/>
          <w:sz w:val="24"/>
          <w:szCs w:val="24"/>
          <w:u w:val="none"/>
        </w:rPr>
        <w:t xml:space="preserve">Wody opadowe 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eastAsia="Times New Roman" w:cs="Arial" w:ascii="Arial" w:hAnsi="Arial"/>
          <w:b w:val="false"/>
          <w:bCs w:val="false"/>
          <w:kern w:val="2"/>
          <w:sz w:val="24"/>
          <w:szCs w:val="24"/>
        </w:rPr>
        <w:tab/>
        <w:t>Inwestycja nie ma wpływu na zagospodarowanie wód opadowych na przyległym terenie.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>Bezpieczeństwo konstrukcji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>Zastosowane rozwiązania projektowe nie powodują istotnych zmian w konstrukcji istniejącego budynku.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>Bezpieczeństwo użytkowania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>Przedmiotowe elementy zostały zaprojektowane zgodnie z zasadami ergonomii z elementów zapewniających bezpieczeństwo użytkowania.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>Ochrona przed hałasem, drganiami i promieniowaniem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 xml:space="preserve">Eksploatacja i remont pomieszczeń - nie będzie powodować zwiększenia w stosunku do istniejących: emisji hałasu oraz wibracji, nie będzie powodować promieniowania, w szczególności jonizującego pola elektromagnetycznego, ani innych zakłóceń. 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>Ogólne warunki higieniczno - zdrowotne oraz związane z ochroną środowiska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rozwiązania, materiały i wyroby wskazane w projekcie nie stanowią zagrożenia dla higieny i zdrowia użytkowników obiektu oraz użytkowników terenów sąsiednich,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obiekt nie będzie emitował gazów toksycznych, szkodliwych pyłów, niebezpiecznego promieniowania, nie będzie powodował zanieczyszczenia wody i gleby,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 projekcie przewidziano zastosowanie takich materiałów oraz technologii, które zapewniają nie przekroczenie dopuszczalnych  stężeń i natężeń czynników wydzielanych przez grunt, materiały,  wyposażenie oraz powstających w trakcie użytkowania zgodnie z przeznaczeniem,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inwestycja nie narusza istniejących warunków gruntowo – wodnych oraz nie ingeruje w istniejący drzewostan,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color w:val="auto"/>
          <w:sz w:val="24"/>
          <w:szCs w:val="24"/>
        </w:rPr>
        <w:t>projektowana inwestycja nie wpłynie negatywnie na istniejący krajobraz oraz ilość powierzchni biologicznie czynnej,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spełnienie wymagań dotyczących odpowiednich warunków higienicznych i zdrowotnych oraz ochrony środowiska realizowane będzie poprzez przestrzeganie przepisów dotyczących warunków higienicznych i sanitarnych oraz ochrony środowiska.</w:t>
      </w:r>
      <w:r>
        <w:rPr>
          <w:rFonts w:cs="Arial" w:ascii="Arial" w:hAnsi="Arial"/>
          <w:b/>
          <w:bCs/>
          <w:sz w:val="24"/>
          <w:szCs w:val="24"/>
        </w:rPr>
        <w:tab/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ascii="Arial" w:hAnsi="Arial"/>
          <w:sz w:val="24"/>
          <w:szCs w:val="24"/>
        </w:rPr>
      </w:pPr>
      <w:r>
        <w:rPr>
          <w:sz w:val="24"/>
          <w:szCs w:val="24"/>
        </w:rPr>
        <w:t>9. Informacja o zasadniczych elementach wyposażenia budowlano-instalacyjnego, zapewniających użytkowanie  obiektu zgodnie z przeznaczeniem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/>
      </w:pPr>
      <w:r>
        <w:rPr/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ab/>
        <w:t xml:space="preserve">Pomieszczenie sali gimnastycznej poddane remontowi, wyposażone będzie  w instalację centralnego ogrzewania (projektuje się nowe grzejniki z termostatami wraz z wymianą fragmentu instalacji – od węzła cieplnego). W ramach inwestycji należy usprawnić wentylację grawitacyjną poprzez udrożnienie istniejących wywietrzaków i montaż nawiewników okiennych. 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Wymieniona zostanie instalacja elektryczna gniazd wtyczkowych i oświetlenia wraz z montażem nowej tablicy rozdzielczej. Ponadto sala wyposażona będzie w instalację do podłączenia nagłośnienia.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/>
          <w:bCs/>
          <w:u w:val="single"/>
        </w:rPr>
      </w:pPr>
      <w:r>
        <w:rPr>
          <w:sz w:val="24"/>
          <w:szCs w:val="24"/>
        </w:rPr>
        <w:t>10. Analiza porównawcza możliwości realizacji wysoce wydajnych systemów alternatywnych zaopatrzenia w energię i ciepło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</w:rPr>
        <w:tab/>
        <w:t>Nie dotyczy.</w:t>
      </w:r>
      <w:r>
        <w:rPr>
          <w:rFonts w:cs="Arial" w:ascii="Arial" w:hAnsi="Arial"/>
          <w:b w:val="false"/>
          <w:bCs w:val="false"/>
          <w:sz w:val="24"/>
          <w:szCs w:val="24"/>
        </w:rPr>
        <w:t xml:space="preserve"> Planowana inwestycja remontu sali gimnastycznej w swym programie nie przewiduje zastosowania innego niż istniejący - systemu zaopatrzenia w energię i ciepło. 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/>
          <w:bCs/>
          <w:u w:val="single"/>
        </w:rPr>
      </w:pPr>
      <w:r>
        <w:rPr>
          <w:sz w:val="24"/>
          <w:szCs w:val="24"/>
        </w:rPr>
        <w:t>11. Analiza technicznych i ekonomicznych możliwości wykorzystania urządzeń, które automatycznie regulują temperaturę oddzielnie w poszczególnych pomieszczeniach lub w wyznaczonej strefie ogrzewanej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Wymiana grzejników nie będzie miała wpływu na zasadę funkcjonowania całej instalacji ogrzewczej w budynku. Przewidziano zastosowanie zaworów termostatycznych z nastawami w instalowanych grzejnikach, co umożliwi miejscową regulację temperatury.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/>
          <w:bCs/>
          <w:u w:val="single"/>
        </w:rPr>
      </w:pPr>
      <w:r>
        <w:rPr>
          <w:sz w:val="24"/>
          <w:szCs w:val="24"/>
        </w:rPr>
        <w:t>12. Informacja dotycząca ochrony przeciwpożarowej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/>
      </w:pPr>
      <w:r>
        <w:rPr/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Program planowanej inwestycji nie ujmuje kompleksowo tematyki  związanej z warunkami ochrony przeciwpożarowej dla obiektu.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 xml:space="preserve">Istniejąca część obiektu, w którym znajduje się sala gimnastyczna zalicza się do kategorii zagrożenia ludzi –  ZL I. 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Planowana inwestycja nie będzie powodować zmiany i pogorszenia warunków istniejących.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Projektowane elementy nie pogorszą możliwości ewakuacyjnych z pomieszczenia sali i z budynku.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Szerokości przejść, będzie spełniać warunki ewakuacji.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ab/>
        <w:t>Wszystkie elementy powinny być wykonane jako nierozprzestrzeniające ogień w ramach możliwości zastosowania materiałów.</w:t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HG Mincho Light J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HG Mincho Light J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HG Mincho Light J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sz w:val="26"/>
          <w:szCs w:val="26"/>
        </w:rPr>
      </w:pPr>
      <w:r>
        <w:rPr>
          <w:sz w:val="26"/>
          <w:szCs w:val="26"/>
        </w:rPr>
        <w:t>III. DANE TECHNICZNE, MATERIAŁOWE I WYPOSAŻENIE</w:t>
      </w:r>
    </w:p>
    <w:p>
      <w:pPr>
        <w:pStyle w:val="Normal"/>
        <w:bidi w:val="0"/>
        <w:spacing w:lineRule="auto" w:line="240" w:before="0" w:after="0"/>
        <w:ind w:end="0"/>
        <w:jc w:val="start"/>
        <w:rPr/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</w:rPr>
        <w:t xml:space="preserve">UWAGA: </w:t>
      </w: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szczegółowe dane techniczne, wykonawcze i materiałowe – wg projektu wykonawczego oraz technicznego.</w:t>
      </w:r>
    </w:p>
    <w:p>
      <w:pPr>
        <w:pStyle w:val="Normal"/>
        <w:suppressAutoHyphens w:val="false"/>
        <w:spacing w:lineRule="auto" w:line="240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cs="Arial"/>
          <w:b/>
          <w:bCs/>
          <w:strike w:val="false"/>
          <w:dstrike w:val="false"/>
          <w:color w:val="000000"/>
          <w:u w:val="single"/>
          <w:shd w:fill="auto" w:val="clear"/>
        </w:rPr>
      </w:pPr>
      <w:r>
        <w:rPr>
          <w:sz w:val="24"/>
          <w:szCs w:val="24"/>
        </w:rPr>
        <w:t>1. Ogólne dane w zakresie prac remontowych i wykończenia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Zaślepienie kanału technicznego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Wykonanie ścianek zaślepiających kanał: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ab/>
        <w:t>- fundament betonowy z betonu B-25 W-8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ab/>
        <w:t>- ściana z bloczków betonowych o gr. 38cm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Zasypanie przestrzeni kanału instalacyjnego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Zasypanie kanału pospółką zagęszczaną warstwami po 10cm do Is=0,97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  <w:t>Docieplenie ściany zewnętrznej w przestrzeni likwidowanego kanału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- Zewnętrzną ścianę w przebiegu kanału instalacyjnego należy docieplić warstwą – termoizolacji -  XPS (gr. 10cm) klejoną do powierzchni ściany za pomocą masy bitumicznej bezrozpuszczalnikowej np. KMB.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Projektowana posadzka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Posadzka sportowa wykonana wg wybranego dostawcy / producenta, powinna spełniać wymogi normy PN-EN 14904:2009 / DIN 18032 cz.2 - lub normy równorzędnej.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1) Projektowana warstwa legarowa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wykończenie – parkiet o gr. 22mm, przeznaczony do powierzchni sportowych pokryty lakierem poliuretanowym;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- 2 x płyta wiórowa frezowana – 12mm, alternatywnie płyty ze sklejki (wg systemu producenta);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folia izolacyjna PE;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deska szer. 9cm w rozstawie co 7cm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legary (o szer. 9cm – lub wg systemu producenta) ze sklejki o gr.18mm w rozstawie co 50cm, układane na krzyż w dwóch warstwach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;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alternatywnie stosować legary z drewna litego o gr. 25mm (w zależności od systemu producenta);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podkładka gumowa 10x10cm amortyzująca;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folia izolacyjna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PE;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2_ Projektowana warstwa wewnętrzna oraz podbudowa:</w:t>
      </w:r>
    </w:p>
    <w:p>
      <w:pPr>
        <w:pStyle w:val="BodyText"/>
        <w:suppressAutoHyphens w:val="false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/>
          <w:sz w:val="24"/>
          <w:szCs w:val="24"/>
        </w:rPr>
        <w:t>- wylewka betonowa z betonu B-20 zbrojona przeciwskurczowo siatką posadzkową -  – o gr. 10cm</w:t>
      </w:r>
      <w:r>
        <w:rPr>
          <w:rFonts w:cs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warstwa styropianu XPS – o gr. 15cm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izolacja przeciwwilgociowa - 2 x papa zgrzewalna modyfikowana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podbudowa betonowa - (B-10 / B-15) – gr. 20cm;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wibroutwardzana warstwa kruszywa – 20cm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- warstwa gruntowa - grunt nośny, pozbawiony cząstek organicznych, o stopniu zagęszczenia (min.) Is=0,97</w:t>
      </w: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(patrz uwaga zawarta w cz. III – Uwagi końcowe);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Wentylacja podłogi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Wentylacja warstwy legarowej - poprzez istniejące otwory wentylacyjne w ścianach zewnętrznych z wylotem strumienia przez szczeliny w listwie podłogowej;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Stopy betonowe pod montaż słupków: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Zaprojektowano stopy wykonane z betonu B25 o wymiarach 50x50x60(h)cm.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Zbrojenie stopy w formie siatki dolnej oraz zbrojenie konstrukcyjne pionowe – z prętów 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Ø10mm; strzemiona zbrojenia pionowego – Ø6mm;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Listwy przypodłogowe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listew (na połączeniu posadzka / ściana) – drewnianych lub polimerowych  z otworami wentylacyjnymi;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Ściany istniejące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(Prace do realizacji po uprzedniej likwidacji zużytych powłok, oczyszczeniu i osuszeniu ścian);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Naprawa uszkodzonych tynków za pomocą zaprawy tynkarskiej , względnie zastosowanie zapraw naprawczych do betonu przy uszkodzeniach ingerujących w konstrukcję;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Równanie ścian gładzią cementową z zastosowaniem listew narożnikowych;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Gruntowanie ścian i malowanie  farbą lateksową;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Parapety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Wykonanie parapetów okiennych drewnianych  z płyty HPL;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Powierzchnia wewnętrzna stropu z płyt korytkowych - sufit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Malowanie farbą akustyczną – dźwiękochłonną, po uprzednim oczyszczeniu i zagruntowaniu powierzchni;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Konstrukcja stalowa podpierająca stropodach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Oczyszczenie powierzchni elementów stalowych oraz malowanie farbą - antykorozyjnie i powierzchniowo;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Wywietrzaki dachowe / sufitowe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Oczyszczenie powierzchni blaszanych, malowanie antykorozyjne i powierzchniowe. Należy sprawdzić drożność kanałów i w razie konieczności udrożnić.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 xml:space="preserve">Drzwi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-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Monta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ż drzwi dwuskrzydłowych w otworze o wym. 146x204cm i minimalnej szer. przejścia skrzydła głównego 90x200cm;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Parametry drzwi: podwyższona izolacyjność akustyczna Rw-38db, wyposażenie w samozamykacz,  blokadę kąta otwarcia skrzydła (90°), próg opadający,  system uszczelnień akustycznych, wypełnienie akustyczne;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Możliwe warianty materiałowe: drewno, aluminium, PCV;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W wyniku montażu drzwi nie może powstać bariera architektoniczna w postaci wystających progów i uskoków.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>Przewidziano ewentualny montaż nowych nadproży drzwiowych w przypadku trudności wykonawczych w uzyskaniu wymaganych parametrów drzwi, wynikających ze zbyt niskiego usytuowania istniejących nadproży.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Zaprojektowano nadproża stalowe z profili UPN 200 L=190 oparte na poduszkach betonowych (B20), pokryte tynkiem cementowo – wapiennym na siatce.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/>
      </w:pPr>
      <w:r>
        <w:rPr>
          <w:rFonts w:cs="Arial"/>
          <w:b/>
          <w:bCs/>
          <w:i w:val="false"/>
          <w:i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2. Wyposażenie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Tablice do koszykówki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(2.szt. -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nowych tablic do gry w koszykówkę z wyposażeniem w kosz i  siatkę, wraz z konstrukcją wspornikową uchylną.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Należy zastosować tablice z konstrukcją wyposażoną w połączenia przegubowe umożliwiające składanie kosza w poziomie na ścianę przy pomocy uchwytów.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Dodatkowo  - ponowny montaż istniejących tablic bocznych.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Bramki do piłki ręcznej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(2 szt. -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nowych bramek do piłki ręcznej wraz z siatką i tulejami montażowymi (2 tuleje na bramkę).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Słupki do siatkówki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(2 szt. - standard + 2 szt. dodatkowo – wg specyfikacji wyposażenia)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słupków do siatkówki, wraz z tulejami i deklami, z siatką i antenkami w zestawie.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Stanowisko sędziowskie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(1 szt.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Stanowisko sędziowskie  składane, mocowane do słupka, z regulowaną wysokością usytuowania podestu sędziowskiego.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Tuleje montażowe elementów wyposażenia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Tuleje – do montażu bramki (o przekroju 100x100mm – lub wg systemu wybranego dostawcy)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,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zabezpieczone deklem systemowym (2szt.);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Tuleje – do montażu słupków siatkarskich (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110 – 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120mm – lub wg systemu wybranego dostawcy)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w standardowym wykorzystaniu (2szt.);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Tuleje dodatkowe (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110 – 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120mm – lub wg systemu wybranego dostawcy)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– do montażu siatki (2szt.);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Tuleje do montażu  słupków bramki i słupków siatkarskich w zestawie z deklami, wykonane ze stali z warstwą ocynku, o długości 50cm (lub wg parametrów wybranego producenta). Tuleje należy utwierdzić w stopach betonowych o wymiarach min. 50x50x60cm, wylanych pod warstwą wykończeniową posadzki.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Drabinki treningowo  - gimnastyczne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(12 szt. wraz z zestawem uchwytów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drabinek drewnianych w podwójnych modułach 180x300cm (11 szt. + jeden zestaw zapasowy), z zachowaniem dystansu na montaż paneli akustycznych pod drabinkami.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Panele akustyczne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Montaż paneli akustycznych o gr. do 5cm - na bazie wełny mineralnej – skalnej (lub wg systemu wybranego producenta).  Należy zastosować rozwiązanie przeznaczone do obiektów sportowych z uwzględnieniem  odporności materiału na uderzenia piłką,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Alternatywnie do paneli można zastosować maty z pianki poliuretanowej naklejane na powierzchnie ścienne (lub mocowane wg sposobu montażu dostawcy).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Osłony grzejnikowe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osłon grzejnikowych z płyt HPL, wykonanych na wymiar przez wybranego dostawcę.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 xml:space="preserve">Siatka ochronna (piłkochwyt)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Siatka ochronna o łącznym wymiarze 8x27m (wg specyfikacji wyposażenia) wraz z zestawem elementów mocujących.</w:t>
      </w:r>
    </w:p>
    <w:p>
      <w:pPr>
        <w:pStyle w:val="Normal"/>
        <w:suppressAutoHyphens w:val="false"/>
        <w:spacing w:lineRule="auto" w:line="240" w:before="0" w:after="0"/>
        <w:rPr/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Zaprojektowano montaż polipropylenowych siatek sznurkowych o wielkości oczek 50x50mm wykonanych pod wymiar okien i antresoli z dobranym indywidualnie sposobem montażu.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Zastosowany system montażu powinien gwarantować sztywne napięcie siatki i jej usytuowanie w odległości min. 40cm od płaszczyzny okna.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Kotara grodząca wraz z konstrukcją wsporczą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kotary dzielącej salę na dwa niezależne pola (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o wym. 18x9m wg specyfikacji wyposażenia)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. Zaprojektowano kotarę wykonaną w górnej część z siatki sznurkowej polipropylenowej, dolna część do wysokości 2,5m wykonana z materiału półprzezroczystego. Projektowy wymiar płaszczyzny grodzącej: 15m x 7m. Prowadzenie / rozkładanie kotary ręczne – wg wybranego systemu.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Konstrukcję wsporczą kotary należy dostosować do indywidualnych możliwości w oparciu o system wybranego dostawcy.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Rozpiętość kotary  i konstrukcji wsporczej  - 15m.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Zestaw do unihokeja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Wyposażenie w zestaw składający się z: dwóch bramek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(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1,15x1,60m) z siatkami oraz komplet band o wymiarach pola10x20m.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Tablice wyników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tablic wyników z wyświetlaczami LED.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Tabliczki informacyjne przed wejściem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tabliczek z napisem w alfabecie Braille’a. Tabliczki ze stali szczotkowanej z grawerem lub napisami naklejanymi.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/>
      </w:pPr>
      <w:r>
        <w:rPr>
          <w:rFonts w:cs="Arial"/>
          <w:b/>
          <w:bCs/>
          <w:color w:val="000000"/>
          <w:sz w:val="24"/>
          <w:szCs w:val="24"/>
          <w:u w:val="single"/>
          <w:shd w:fill="auto" w:val="clear"/>
        </w:rPr>
        <w:t>3. Proponowana kolorystyka i uwagi dotyczące stosowanych materiałów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niniejszym opracowaniu propozycje nie narzucają kategorycznie rozwiązań kolorystycznych.  Ostatecznie kolorystykę należy ustalić na miejscu inwestycji w oparciu o palety wybranych producentów poszczególnych materiałów.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Do zaproponowania poszczególnych odcieni użyto standardowej palety RAL–Classic.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Proponowana kolorystyka: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Farba lateksowa w proponowanej kolorystyce: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1) Np. RAL 9002 (grey white) – a) w pasie poziomym wokół pomieszczenia wyznaczonym przez górną linię nadproży okiennych i linię styku z sufitem; b) w pasach pionowych filarów przyokiennych i w pasach poziomych podciągów międzyokiennych - ściany południowej; c) w pasach poziomych i pionowych wyznaczonych przez krawędzie tablic koszykarskich bocznych i głównych – w ścianach: pn., wsch., i zach.;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2) Np. RAL 9003 (signal white) – w pozostałych płaszczyznach ściennych wszystkich ścian;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Panele / maty akustyczne - RAL wg wariantów dostępnych w wybranym systemie (proponowana kolorystyka nawiązująca do przybrudzonej bieli / ecru lub kolor kontrastujący z kolorystyką ścian);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Parkiet sportowy wg zastosowanego systemu, w kolorze naturalnym, pokryty lakierem poliuretanowym;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Drewniane lub polimerowe w odcieniu nawiązującym do kolorystyki podłogi;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Farba akustyczna w kolorze nawiązującym do kolorystyki ścian np. RAL 9002 lub RAL 9003 (lub zbliżonym);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Elementy konstrukcji stalowych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Farba antykorozyjna / farba wierzchnia w kolorystyce – np. RAL 7042 Traffic grey A;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wg projektowanych parametrów w kolorystyce np. RAL 7040 window grey;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/>
          <w:bCs/>
          <w:u w:val="single"/>
        </w:rPr>
        <w:t>Uwagi ogólne dotyczące stosowanych materiałów wykończeniowych i wyposażenia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Zastosowane w pracach remontowych materiały powinny spełniać wymogi prawne, normatywne, w tym BHP z uwzględnieniem stosowania w pomieszczeniach szkolnych oraz zapewnić bezpieczeństwo użytkowania, trwałość i odpowiednią jakość.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nie mogą emitować substancji szkodliwych dla zdrowia (np. formaldehydów, lotnych związków organicznych – LZO, itp);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trwałe i nie stwarzać zagrożeń w codziennym użytkowaniu, odporne na uszkodzenia mechaniczne, wilgoć i inne czynniki zewnętrzne;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Powierzchnie wykończeniowe  ścian, podłóg i sufitów powinny być  łatwe do czyszczenia i dezynfekcji (odporne na środki dezynfekcyjne) oraz pozbawione ubytków, aby zapobiegać gromadzeniu się brudu, kurzu, bakterii i wirusów;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Należy stosować materiały o wysokim wskaźniku jakości, oraz materiały, które minimalizują negatywny wpływ na środowisko naturalne;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Podłogi muszą być antypoślizgowe, aby minimalizować ryzyko upadków;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wytrzymałe na intensywne użytkowanie i łatwe do utrzymania w czystości, co jest istotne w warunkach szkolnych;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Wyroby używane w placówkach oświatowych powinny posiadać odpowiednie certyfikaty i atesty higieniczne, dopuszczające je do stosowania w budynkach użyteczności publicznej;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Stosowane materiały powinny posiadać właściwości niepalne lub trudno zapalne, o niskiej emisji dymu i braku kapiących elementów.</w:t>
      </w:r>
    </w:p>
    <w:p>
      <w:pPr>
        <w:pStyle w:val="Normal"/>
        <w:suppressAutoHyphens w:val="false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Projektowane elementy: sprzęt, wyposażenie, urządzenia sportowe, powinny posiadać odpowiednie certyfikaty dopuszczające oraz spełniać obowiązujące normy (w zakresie funkcjonalności, bezpieczeństwa i metody badań).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sz w:val="26"/>
          <w:szCs w:val="26"/>
        </w:rPr>
      </w:pPr>
      <w:r>
        <w:rPr>
          <w:sz w:val="26"/>
          <w:szCs w:val="26"/>
        </w:rPr>
        <w:t>IV UWAGI KOŃCOWE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FF0000"/>
          <w:sz w:val="24"/>
          <w:szCs w:val="24"/>
          <w:shd w:fill="auto" w:val="clear"/>
        </w:rPr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Wszystkie projektowane prace należy wykonywać wg projektu wykonawczego i technicznego, stosując się do zasad określonych w „Warunkach technicznych wykonania i odbioru robót budowlano montażowych” , ITB , pod stałym nadzorem osoby upoważnionej przez inwestora do nadzorowania pracami budowlanymi oraz z zachowaniem stosownych przepisów BHP i p.poż. w zakresie wynikającym z prowadzonego rodzaju robót.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Stosowane materiały winny posiadać wymagane aktualne atesty, certyfikaty i aprobaty techniczne, upoważniające do stosowania w budownictwie, wydane przez właściwe jednostki aprobujące, zgodnie z Rozporządzeniem Ministra Gospodarki  Przestrzennej i Budownictwa w sprawie aprobat i kryteriów technicznych dotyczących wyrobów budowlanych.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Dopuszcza się w realizacji inwestycji zastosowanie innych materiałów, urządzeń i rozwiązań pod warunkiem zachowania ich równorzędności w stosunku do wskazanych w projekcie, i posiadających  nie gorsze parametry techniczne i właściwości. Przed wprowadzeniem zmian należy uzyskać akceptację Projektanta i Inwestora.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Za jakiekolwiek zmiany dokonane bez Projektantów, Autorzy projektu nie ponoszą odpowiedzialności.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Przed przystąpieniem do prac wykonawca ma obowiązek sprawdzić w naturze wymiary przedmiotowych pomieszczeń i poszczególnych elementów. </w:t>
      </w: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 xml:space="preserve">Wskazane w projekcie obmiary, ilości poszczególnych materiałów, wszystkich elementów i powierzchni należy sprawdzić i powtórnie przeliczyć na miejscu inwestycji, dokonując pomiarów i obliczeń z uwzględnieniem nadwyżek i strat wykonawczych.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 przypadku stwierdzenia w trakcie prowadzenia robót, innych elementów, lub innego stanu poszczególnych materiałów i struktur, uniemożliwiających  lub utrudniających prowadzenie prac w zakładany w dokumentacji sposób, należy zastosować rozwiązania zamienne po uzgodnieniu ich z Inwestorem i Projektantem.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Szczególną uwagę należy zwrócić  przy robotach w obrębie posadzki i przed przystąpieniem do układania podbudowy dokonać analizy i oceny warstw gruntowych. Należy poprzez konsultację geotechniczną (geologiczną) potwierdzić zdatność odkrytej warstwy do bezpośredniego układania podbudowy i dalszych warstw posadzkowych. </w:t>
      </w: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W przypadku występowania gleby nieskonsolidowanej, słabo nośnej, czy o właściwościach organicznych, należy dokonać odpowiedniej wymiany gruntu na podstawie zaleceń geotechnicznych.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Opracowanie</w:t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Projektant: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HUBERT A. CIESIELSKI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upr. bud. w spec. architektonicznej nr 16/PDOKK/2014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Współpraca - opracowujący: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</w:tbl>
    <w:p>
      <w:pPr>
        <w:pStyle w:val="Normal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bookmarkStart w:id="0" w:name="PageNumWizard_FOOTER_Domyślny_styl_stron"/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22</w:t>
    </w:r>
    <w:r>
      <w:rPr/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"/>
      <w:lvlJc w:val="start"/>
      <w:pPr>
        <w:tabs>
          <w:tab w:val="num" w:pos="0"/>
        </w:tabs>
        <w:ind w:start="720" w:hanging="360"/>
      </w:pPr>
      <w:rPr>
        <w:rFonts w:ascii="Symbol" w:hAnsi="Symbol" w:cs="Symbol" w:hint="default"/>
      </w:rPr>
    </w:lvl>
    <w:lvl w:ilvl="1">
      <w:start w:val="1"/>
      <w:numFmt w:val="bullet"/>
      <w:lvlText w:val=""/>
      <w:lvlJc w:val="start"/>
      <w:pPr>
        <w:tabs>
          <w:tab w:val="num" w:pos="0"/>
        </w:tabs>
        <w:ind w:start="1080" w:hanging="360"/>
      </w:pPr>
      <w:rPr>
        <w:rFonts w:ascii="Symbol" w:hAnsi="Symbol" w:cs="Symbol" w:hint="default"/>
      </w:rPr>
    </w:lvl>
    <w:lvl w:ilvl="2">
      <w:start w:val="1"/>
      <w:numFmt w:val="bullet"/>
      <w:lvlText w:val=""/>
      <w:lvlJc w:val="start"/>
      <w:pPr>
        <w:tabs>
          <w:tab w:val="num" w:pos="0"/>
        </w:tabs>
        <w:ind w:start="1440" w:hanging="360"/>
      </w:pPr>
      <w:rPr>
        <w:rFonts w:ascii="Symbol" w:hAnsi="Symbol" w:cs="Symbol" w:hint="default"/>
      </w:rPr>
    </w:lvl>
    <w:lvl w:ilvl="3">
      <w:start w:val="1"/>
      <w:numFmt w:val="bullet"/>
      <w:lvlText w:val=""/>
      <w:lvlJc w:val="start"/>
      <w:pPr>
        <w:tabs>
          <w:tab w:val="num" w:pos="0"/>
        </w:tabs>
        <w:ind w:start="1800" w:hanging="360"/>
      </w:pPr>
      <w:rPr>
        <w:rFonts w:ascii="Symbol" w:hAnsi="Symbol" w:cs="Symbol" w:hint="default"/>
      </w:rPr>
    </w:lvl>
    <w:lvl w:ilvl="4">
      <w:start w:val="1"/>
      <w:numFmt w:val="bullet"/>
      <w:lvlText w:val=""/>
      <w:lvlJc w:val="start"/>
      <w:pPr>
        <w:tabs>
          <w:tab w:val="num" w:pos="0"/>
        </w:tabs>
        <w:ind w:start="2160" w:hanging="360"/>
      </w:pPr>
      <w:rPr>
        <w:rFonts w:ascii="Symbol" w:hAnsi="Symbol" w:cs="Symbol" w:hint="default"/>
      </w:rPr>
    </w:lvl>
    <w:lvl w:ilvl="5">
      <w:start w:val="1"/>
      <w:numFmt w:val="bullet"/>
      <w:lvlText w:val=""/>
      <w:lvlJc w:val="start"/>
      <w:pPr>
        <w:tabs>
          <w:tab w:val="num" w:pos="0"/>
        </w:tabs>
        <w:ind w:start="2520" w:hanging="360"/>
      </w:pPr>
      <w:rPr>
        <w:rFonts w:ascii="Symbol" w:hAnsi="Symbol" w:cs="Symbol" w:hint="default"/>
      </w:rPr>
    </w:lvl>
    <w:lvl w:ilvl="6">
      <w:start w:val="1"/>
      <w:numFmt w:val="bullet"/>
      <w:lvlText w:val=""/>
      <w:lvlJc w:val="start"/>
      <w:pPr>
        <w:tabs>
          <w:tab w:val="num" w:pos="0"/>
        </w:tabs>
        <w:ind w:start="2880" w:hanging="360"/>
      </w:pPr>
      <w:rPr>
        <w:rFonts w:ascii="Symbol" w:hAnsi="Symbol" w:cs="Symbol" w:hint="default"/>
      </w:rPr>
    </w:lvl>
    <w:lvl w:ilvl="7">
      <w:start w:val="1"/>
      <w:numFmt w:val="bullet"/>
      <w:lvlText w:val=""/>
      <w:lvlJc w:val="start"/>
      <w:pPr>
        <w:tabs>
          <w:tab w:val="num" w:pos="0"/>
        </w:tabs>
        <w:ind w:start="3240" w:hanging="360"/>
      </w:pPr>
      <w:rPr>
        <w:rFonts w:ascii="Symbol" w:hAnsi="Symbol" w:cs="Symbol" w:hint="default"/>
      </w:rPr>
    </w:lvl>
    <w:lvl w:ilvl="8">
      <w:start w:val="1"/>
      <w:numFmt w:val="bullet"/>
      <w:lvlText w:val=""/>
      <w:lvlJc w:val="start"/>
      <w:pPr>
        <w:tabs>
          <w:tab w:val="num" w:pos="0"/>
        </w:tabs>
        <w:ind w:start="3600" w:hanging="360"/>
      </w:pPr>
      <w:rPr>
        <w:rFonts w:ascii="Symbol" w:hAnsi="Symbol" w:cs="Symbol" w:hint="default"/>
      </w:rPr>
    </w:lvl>
  </w:abstractNum>
  <w:abstractNum w:abstractNumId="3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isplayBackgroundShape/>
  <w:defaultTabStop w:val="708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singl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outlineLvl w:val="2"/>
    </w:pPr>
    <w:rPr>
      <w:sz w:val="28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shd w:val="clear" w:fill="FFFFFF"/>
      <w:tabs>
        <w:tab w:val="clear" w:pos="708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shd w:val="clear" w:fill="FFFFFF"/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Times New Roman"/>
    </w:rPr>
  </w:style>
  <w:style w:type="character" w:styleId="WW8Num2z1">
    <w:name w:val="WW8Num2z1"/>
    <w:qFormat/>
    <w:rPr>
      <w:rFonts w:ascii="Courier New" w:hAnsi="Courier New" w:cs="OpenSymbol;Arial Unicode MS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1z0">
    <w:name w:val="WW8Num1z0"/>
    <w:qFormat/>
    <w:rPr>
      <w:rFonts w:ascii="Times New Roman" w:hAnsi="Times New Roman" w:cs="Times New Roman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">
    <w:name w:val="Caption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">
    <w:name w:val="Caption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">
    <w:name w:val="Caption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">
    <w:name w:val="Caption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">
    <w:name w:val="Caption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">
    <w:name w:val="Caption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">
    <w:name w:val="Caption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">
    <w:name w:val="Caption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">
    <w:name w:val="Caption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">
    <w:name w:val="Caption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">
    <w:name w:val="Caption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">
    <w:name w:val="Caption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">
    <w:name w:val="Caption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">
    <w:name w:val="Caption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">
    <w:name w:val="Caption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">
    <w:name w:val="Caption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">
    <w:name w:val="Caption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">
    <w:name w:val="Caption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">
    <w:name w:val="Caption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1">
    <w:name w:val="Caption1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11">
    <w:name w:val="Caption11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111">
    <w:name w:val="Caption111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1111">
    <w:name w:val="Caption1111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11111">
    <w:name w:val="Caption11111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111111">
    <w:name w:val="Caption111111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1111111">
    <w:name w:val="Caption1111111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11111111">
    <w:name w:val="Caption11111111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1111111111">
    <w:name w:val="Caption1111111111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08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shd w:val="clear" w:fill="FFFFFF"/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shd w:val="clear" w:fill="FFFFFF"/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shd w:val="clear" w:fill="FFFFFF"/>
      <w:tabs>
        <w:tab w:val="clear" w:pos="708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Standard1">
    <w:name w:val="Standard1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Caption2">
    <w:name w:val="Caption2"/>
    <w:basedOn w:val="Normal"/>
    <w:qFormat/>
    <w:pPr>
      <w:spacing w:before="120" w:after="120"/>
    </w:pPr>
    <w:rPr>
      <w:rFonts w:cs="Arial"/>
      <w:i/>
      <w:iCs/>
      <w:color w:val="000000"/>
    </w:rPr>
  </w:style>
  <w:style w:type="numbering" w:styleId="WW8Num1">
    <w:name w:val="WW8Num1"/>
    <w:qFormat/>
  </w:style>
  <w:style w:type="numbering" w:styleId="WW8Num2">
    <w:name w:val="WW8Num2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22441</TotalTime>
  <Application>LibreOffice/7.6.2.1$Windows_X86_64 LibreOffice_project/56f7684011345957bbf33a7ee678afaf4d2ba333</Application>
  <AppVersion>15.0000</AppVersion>
  <Pages>22</Pages>
  <Words>5411</Words>
  <Characters>37277</Characters>
  <CharactersWithSpaces>42551</CharactersWithSpaces>
  <Paragraphs>439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</dc:creator>
  <dc:description/>
  <dc:language>pl-PL</dc:language>
  <cp:lastModifiedBy/>
  <cp:lastPrinted>2025-12-04T20:14:00Z</cp:lastPrinted>
  <dcterms:modified xsi:type="dcterms:W3CDTF">2025-12-18T13:36:24Z</dcterms:modified>
  <cp:revision>812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